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BD" w:rsidRDefault="00AE74BD" w:rsidP="00AE74B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F62D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C478E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Ірі</w:t>
      </w:r>
      <w:r w:rsidRPr="00C478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8E1">
        <w:rPr>
          <w:rFonts w:ascii="Times New Roman" w:hAnsi="Times New Roman" w:cs="Times New Roman"/>
          <w:b/>
          <w:sz w:val="28"/>
          <w:szCs w:val="28"/>
        </w:rPr>
        <w:t>салық</w:t>
      </w:r>
      <w:proofErr w:type="spellEnd"/>
      <w:r w:rsidRPr="00C478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8E1">
        <w:rPr>
          <w:rFonts w:ascii="Times New Roman" w:hAnsi="Times New Roman" w:cs="Times New Roman"/>
          <w:b/>
          <w:sz w:val="28"/>
          <w:szCs w:val="28"/>
        </w:rPr>
        <w:t>төлеушілер</w:t>
      </w:r>
      <w:proofErr w:type="spellEnd"/>
      <w:r w:rsidRPr="00C478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8E1">
        <w:rPr>
          <w:rFonts w:ascii="Times New Roman" w:hAnsi="Times New Roman" w:cs="Times New Roman"/>
          <w:b/>
          <w:sz w:val="28"/>
          <w:szCs w:val="28"/>
        </w:rPr>
        <w:t>мониторингіне</w:t>
      </w:r>
      <w:proofErr w:type="spellEnd"/>
      <w:r w:rsidRPr="00C478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8E1">
        <w:rPr>
          <w:rFonts w:ascii="Times New Roman" w:hAnsi="Times New Roman" w:cs="Times New Roman"/>
          <w:b/>
          <w:sz w:val="28"/>
          <w:szCs w:val="28"/>
        </w:rPr>
        <w:t>қатысушылардың</w:t>
      </w:r>
      <w:proofErr w:type="spellEnd"/>
      <w:r w:rsidRPr="00C478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8E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тізбесін                        бекіту туралы</w:t>
      </w:r>
      <w:r w:rsidRPr="00DF62D1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Қаржы министрі бұйрығының жобасына </w:t>
      </w:r>
      <w:r w:rsidRPr="00C6787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0B63AB">
        <w:rPr>
          <w:rFonts w:ascii="Times New Roman" w:hAnsi="Times New Roman" w:cs="Times New Roman"/>
          <w:sz w:val="28"/>
          <w:szCs w:val="28"/>
          <w:lang w:val="kk-KZ"/>
        </w:rPr>
        <w:t xml:space="preserve">(бұдан әрі-Жоба) </w:t>
      </w:r>
      <w:r w:rsidRPr="000B63AB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</w:p>
    <w:p w:rsidR="00307AA9" w:rsidRDefault="00307AA9" w:rsidP="00AE74B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AA9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Қазақстан Республикасы Салық </w:t>
      </w:r>
      <w:r w:rsidR="000B63AB">
        <w:rPr>
          <w:rFonts w:ascii="Times New Roman" w:eastAsia="Times New Roman" w:hAnsi="Times New Roman" w:cs="Times New Roman"/>
          <w:sz w:val="28"/>
          <w:szCs w:val="24"/>
          <w:lang w:val="kk-KZ"/>
        </w:rPr>
        <w:t>к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одексінің 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144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-бабының 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               3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-тармағына сәйкес 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әзірленген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307AA9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p w:rsidR="00307AA9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r w:rsidRPr="00307AA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Жобаны іске асыру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C0F71">
        <w:rPr>
          <w:rFonts w:ascii="Times New Roman" w:eastAsia="Times New Roman" w:hAnsi="Times New Roman" w:cs="Times New Roman"/>
          <w:sz w:val="28"/>
          <w:szCs w:val="24"/>
          <w:lang w:val="kk-KZ"/>
        </w:rPr>
        <w:t>Осы НҚА жобасы Ірі салық төлеушілердің мониторингіне қатысушылардың тізбесін бекітеді, оған мыналар кіреді: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 2009 жылғы 1 қаңтарға дейін Қазақстан Республикасының Үкіметі немесе құзыретті орган және жер қойнауын пайдаланушы арасында жасалған және міндетті салықтық сараптамадан өткен өнімді бөлу туралы келісімде (келісімшартта) көрсетілген және (немесе) мұнай-газ конденсаты немесе теңіз кен орнында қызметін жүзеге асыратын сенім білдірілген тұлға (оператор) және (немесе) жер қойнауын пайдаланушы (жер қойнауын пайдаланушылар);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 қатысушылар тізбесі қолданысқа енгізілген жылдың алдындағы жылдың 1 қазанында мынадай шарттарға сәйкес келетін: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кең таралған пайдалы қазбаларды және жерасты суларын барлауға, өндіруге арналған келісімшарттарды қоспағанда, пайдалы қазбаларды барлауға, өндіруге, бірлескен барлау мен өндіруге арналған келісімшарт жер қойнауын пайдаланушымен жасалса;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жер қойнауын пайдаланушы өңірлік саясат саласындағы орталық уәкілетті орган бекітетін тізбеге сәйкес қала құраушы заңды тұлғалар санатына жатқызылса, жер қойнауын пайдаланушы;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 жыл сайынғы төленген салықтар сомасы қатысушылар тізбесі бекітілуге тиісті жылдың соңына қолданыста болатын айлық есептік көрсеткіштің кемінде 2 000 000 еселенген мөлшерін құрайтын салық төлеушілер енгізіледі.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Бұл ретте жыл сайынғы төленген салықтар сомасы қатысушылар тізбесі бекітілуге тиісті жылдың алдындағы күнтізбелік үш жылдың әрқайсысы үшін айқындалады;</w:t>
      </w:r>
    </w:p>
    <w:p w:rsid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қатысушылардың тізбесі бекітілуге тиісті жылдың алдындағы салықтық кезең үшін 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>Салық</w:t>
      </w: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B63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одекстің 255-бабында көзделген азайтуды есепке алмағанда, жылдық жиынтық кірісі қатысушылардың тізбесі бекітілуге жататын жыл соңында қолданыста болатын айлық есептік көрсеткіштің 3 000 000 еселенген мөлшерінен асатын екінші деңгейдегі банктер мен сақтандыру ұйымдары;</w:t>
      </w:r>
    </w:p>
    <w:p w:rsidR="001C0F71" w:rsidRPr="001C0F71" w:rsidRDefault="001C0F71" w:rsidP="001C0F7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5) осы тармақтың екінші бөлігінде белгіленген шарттарға сәйкес келетін ірі салық төлеушілердің ішінен 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>Салық</w:t>
      </w: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B63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одекстің 255-бабында көзделген азайтуды есепке алмағанда, неғұрлым көп жылдық жиынтық кірісі бар алғашқы үш жүз ірі салық төлеуші енгізіледі.</w:t>
      </w:r>
    </w:p>
    <w:p w:rsidR="001C0F71" w:rsidRPr="001C0F71" w:rsidRDefault="00E56A38" w:rsidP="00E56A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Жоғары көрсетілген</w:t>
      </w:r>
      <w:r w:rsidR="001C0F71"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үш жүз ірі салық төлеуші салықтық кезеңнің соңында тірке</w:t>
      </w:r>
      <w:r w:rsidR="000B63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лген</w:t>
      </w:r>
      <w:r w:rsidR="001C0F71" w:rsidRPr="001C0F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активтерінің құндық баланстарының сомасы қатысушылар тізбесі бекітілуге тиісті жылдың соңында қолданыста болатын айлық есептік көрсеткіштің кемінде 325 000 еселенген мөлшерін құрайтын салық төлеушілер арасынан іріктеледі.</w:t>
      </w:r>
    </w:p>
    <w:p w:rsidR="00CA69B3" w:rsidRPr="00CA69B3" w:rsidRDefault="00CA69B3" w:rsidP="00CA69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A69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Жобаның күтілетін нәтижесі:</w:t>
      </w:r>
    </w:p>
    <w:p w:rsidR="000B63AB" w:rsidRDefault="00CA69B3" w:rsidP="00CA6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A69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Қазақстан Республикасының салық заңнамасының және Қазақстан Республикасының трансферттік баға белгілеу туралы заңнамасының сақталуын бақылау мақсатында ірі салық төлеушілердің салық мониторингін жүзеге асыру үшін ірі салық төлеушілердің 2026-2027 жылдарға арналған мониторингіне қатысушылардың тізбесін бекіту;</w:t>
      </w:r>
    </w:p>
    <w:p w:rsidR="00CA69B3" w:rsidRPr="00CA69B3" w:rsidRDefault="00CA69B3" w:rsidP="00CA69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  <w:r w:rsidRPr="00CA69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мониторингке қатысушылардың тізбесіне ірі салық төлеушілерді енгізу туралы салық төлеушілерді хабардар ету.</w:t>
      </w:r>
    </w:p>
    <w:p w:rsidR="001C0F71" w:rsidRPr="00CA69B3" w:rsidRDefault="001C0F71" w:rsidP="00CA69B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07AA9" w:rsidRPr="00307AA9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AE74BD" w:rsidRDefault="00AE74BD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74BD" w:rsidRDefault="00AE74BD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26BFD" w:rsidRPr="008145C4" w:rsidRDefault="00F26BFD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</w:t>
      </w: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ПРАВКА</w:t>
      </w:r>
    </w:p>
    <w:p w:rsidR="00F26BFD" w:rsidRDefault="00F26BFD" w:rsidP="00F26BF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4DAB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344DAB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344DAB">
        <w:rPr>
          <w:rFonts w:ascii="Times New Roman" w:hAnsi="Times New Roman" w:cs="Times New Roman"/>
          <w:b/>
          <w:sz w:val="28"/>
          <w:szCs w:val="28"/>
        </w:rPr>
        <w:t>роекту</w:t>
      </w:r>
      <w:proofErr w:type="spellEnd"/>
      <w:r w:rsidRPr="00344DAB">
        <w:rPr>
          <w:rFonts w:ascii="Times New Roman" w:hAnsi="Times New Roman" w:cs="Times New Roman"/>
          <w:b/>
          <w:sz w:val="28"/>
          <w:szCs w:val="28"/>
        </w:rPr>
        <w:t xml:space="preserve"> приказа Министра финансов Республики Казахстан </w:t>
      </w:r>
      <w:r w:rsidRPr="00344DAB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</w:t>
      </w:r>
      <w:r w:rsidRPr="008A269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участников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269A">
        <w:rPr>
          <w:rFonts w:ascii="Times New Roman" w:hAnsi="Times New Roman" w:cs="Times New Roman"/>
          <w:b/>
          <w:bCs/>
          <w:sz w:val="28"/>
          <w:szCs w:val="28"/>
        </w:rPr>
        <w:t>мониторинг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</w:p>
    <w:p w:rsidR="00F26BFD" w:rsidRDefault="00F26BFD" w:rsidP="00F26BF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</w:pPr>
      <w:r w:rsidRPr="008A269A">
        <w:rPr>
          <w:rFonts w:ascii="Times New Roman" w:hAnsi="Times New Roman" w:cs="Times New Roman"/>
          <w:b/>
          <w:bCs/>
          <w:sz w:val="28"/>
          <w:szCs w:val="28"/>
        </w:rPr>
        <w:t xml:space="preserve"> крупных налогоплательщиков</w:t>
      </w:r>
      <w:r w:rsidRPr="00E804B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   </w:t>
      </w:r>
    </w:p>
    <w:p w:rsidR="00F26BFD" w:rsidRPr="00B24AC6" w:rsidRDefault="00F26BFD" w:rsidP="00F26BF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C6">
        <w:rPr>
          <w:rFonts w:ascii="Times New Roman" w:hAnsi="Times New Roman" w:cs="Times New Roman"/>
          <w:sz w:val="28"/>
          <w:szCs w:val="28"/>
        </w:rPr>
        <w:t>(далее – Проект)</w:t>
      </w:r>
    </w:p>
    <w:p w:rsidR="00741089" w:rsidRDefault="00741089" w:rsidP="00F26BF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AE74BD" w:rsidRDefault="00AE74BD" w:rsidP="00AE7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Проект разработан в соответствии с пунктом 3 статьи 144 </w:t>
      </w:r>
      <w:r>
        <w:rPr>
          <w:rFonts w:ascii="Times New Roman" w:hAnsi="Times New Roman" w:cs="Times New Roman"/>
          <w:bCs/>
          <w:sz w:val="28"/>
          <w:szCs w:val="28"/>
        </w:rPr>
        <w:t>Налогового кодекса Республики Казахстан.</w:t>
      </w:r>
    </w:p>
    <w:p w:rsidR="00AE74BD" w:rsidRDefault="00AE74BD" w:rsidP="00F26B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26BFD" w:rsidRDefault="00F26BFD" w:rsidP="00F2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73D2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Реализация Проекта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B3762" w:rsidRDefault="00F26BFD" w:rsidP="00AB3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25BF">
        <w:rPr>
          <w:rFonts w:ascii="Times New Roman" w:hAnsi="Times New Roman" w:cs="Times New Roman"/>
          <w:color w:val="000000"/>
          <w:sz w:val="28"/>
          <w:szCs w:val="28"/>
          <w:lang w:val="kk-KZ"/>
        </w:rPr>
        <w:t>Данный проект НПА</w:t>
      </w:r>
      <w:r w:rsidR="0075319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DA25BF">
        <w:rPr>
          <w:rFonts w:ascii="Times New Roman" w:hAnsi="Times New Roman" w:cs="Times New Roman"/>
          <w:sz w:val="28"/>
          <w:szCs w:val="28"/>
          <w:lang w:val="kk-KZ"/>
        </w:rPr>
        <w:t>утвержд</w:t>
      </w:r>
      <w:r>
        <w:rPr>
          <w:rFonts w:ascii="Times New Roman" w:hAnsi="Times New Roman" w:cs="Times New Roman"/>
          <w:sz w:val="28"/>
          <w:szCs w:val="28"/>
          <w:lang w:val="kk-KZ"/>
        </w:rPr>
        <w:t>ает</w:t>
      </w:r>
      <w:r w:rsidRPr="00DA25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3762">
        <w:rPr>
          <w:rFonts w:ascii="Times New Roman" w:hAnsi="Times New Roman" w:cs="Times New Roman"/>
          <w:sz w:val="28"/>
          <w:szCs w:val="28"/>
          <w:lang w:val="kk-KZ"/>
        </w:rPr>
        <w:t>перечень участников мониторинга крупных налогоплательщиков, в который включаются:</w:t>
      </w:r>
    </w:p>
    <w:p w:rsidR="00AB3762" w:rsidRDefault="00AB3762" w:rsidP="00AB3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B3762">
        <w:rPr>
          <w:rFonts w:ascii="Times New Roman" w:hAnsi="Times New Roman" w:cs="Times New Roman"/>
          <w:sz w:val="28"/>
          <w:szCs w:val="28"/>
        </w:rPr>
        <w:t xml:space="preserve">) поверенное лицо (оператор) и (или) </w:t>
      </w:r>
      <w:proofErr w:type="spellStart"/>
      <w:r w:rsidRPr="00AB3762"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 w:rsidRPr="00AB376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3762">
        <w:rPr>
          <w:rFonts w:ascii="Times New Roman" w:hAnsi="Times New Roman" w:cs="Times New Roman"/>
          <w:sz w:val="28"/>
          <w:szCs w:val="28"/>
        </w:rPr>
        <w:t>недропользователи</w:t>
      </w:r>
      <w:proofErr w:type="spellEnd"/>
      <w:r w:rsidRPr="00AB3762">
        <w:rPr>
          <w:rFonts w:ascii="Times New Roman" w:hAnsi="Times New Roman" w:cs="Times New Roman"/>
          <w:sz w:val="28"/>
          <w:szCs w:val="28"/>
        </w:rPr>
        <w:t xml:space="preserve">), указанные в соглашении (контракте) о разделе продукции, заключенном между Правительством Республики Казахстан или компетентным органом и </w:t>
      </w:r>
      <w:proofErr w:type="spellStart"/>
      <w:r w:rsidRPr="00AB3762">
        <w:rPr>
          <w:rFonts w:ascii="Times New Roman" w:hAnsi="Times New Roman" w:cs="Times New Roman"/>
          <w:sz w:val="28"/>
          <w:szCs w:val="28"/>
        </w:rPr>
        <w:t>недропользователем</w:t>
      </w:r>
      <w:proofErr w:type="spellEnd"/>
      <w:r w:rsidRPr="00AB3762">
        <w:rPr>
          <w:rFonts w:ascii="Times New Roman" w:hAnsi="Times New Roman" w:cs="Times New Roman"/>
          <w:sz w:val="28"/>
          <w:szCs w:val="28"/>
        </w:rPr>
        <w:t xml:space="preserve"> до 1 января 2009 года и прошедшем обязательную налоговую экспертизу, и (или) осуществляющие деятельность на нефтегазоконденсатном или морском месторождении;</w:t>
      </w:r>
    </w:p>
    <w:p w:rsidR="00AB3762" w:rsidRPr="00AB3762" w:rsidRDefault="00AB3762" w:rsidP="00AB3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76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B3762"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 w:rsidRPr="00AB3762">
        <w:rPr>
          <w:rFonts w:ascii="Times New Roman" w:hAnsi="Times New Roman" w:cs="Times New Roman"/>
          <w:sz w:val="28"/>
          <w:szCs w:val="28"/>
        </w:rPr>
        <w:t>, который на 1 октября года, предшествующего году введения в действие перечня участников, соответствует следующим условиям:</w:t>
      </w:r>
    </w:p>
    <w:p w:rsid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t xml:space="preserve">      с </w:t>
      </w:r>
      <w:proofErr w:type="spellStart"/>
      <w:r w:rsidRPr="00AB3762">
        <w:rPr>
          <w:sz w:val="28"/>
          <w:szCs w:val="28"/>
        </w:rPr>
        <w:t>недропользователем</w:t>
      </w:r>
      <w:proofErr w:type="spellEnd"/>
      <w:r w:rsidRPr="00AB3762">
        <w:rPr>
          <w:sz w:val="28"/>
          <w:szCs w:val="28"/>
        </w:rPr>
        <w:t xml:space="preserve"> заключен контракт на разведку, добычу, совмещенную разведку и добычу полезных ископаемых, за исключением контрактов на разведку, добычу общераспространенных полезных ископаемых и подземных вод;</w:t>
      </w:r>
    </w:p>
    <w:p w:rsid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t xml:space="preserve">      </w:t>
      </w:r>
      <w:proofErr w:type="spellStart"/>
      <w:r w:rsidRPr="00AB3762">
        <w:rPr>
          <w:sz w:val="28"/>
          <w:szCs w:val="28"/>
        </w:rPr>
        <w:t>недропользователь</w:t>
      </w:r>
      <w:proofErr w:type="spellEnd"/>
      <w:r w:rsidRPr="00AB3762">
        <w:rPr>
          <w:sz w:val="28"/>
          <w:szCs w:val="28"/>
        </w:rPr>
        <w:t xml:space="preserve"> отнесен к категории градообразующих юридических лиц в соответствии с перечнем, утверждаемым центральным уполномоченным органом в сфере региональной политики;</w:t>
      </w:r>
    </w:p>
    <w:p w:rsid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t>      3) налогоплательщики, ежегодная сумма уплаченных налогов которыми составляет не менее 2 000 000-кратного размера месячного расчетного показателя, действующего на конец года, в котором подлежит утверждению перечень участников.</w:t>
      </w:r>
    </w:p>
    <w:p w:rsid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t>      При этом ежегодная сумма уплаченных налогов определяется за каждый из трех календарных лет, предшествующих году, в котором подлежит утверждению перечень участников;</w:t>
      </w:r>
    </w:p>
    <w:p w:rsid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t xml:space="preserve">      4) банки второго уровня и страховые организации, совокупный годовой доход без учета уменьшения, предусмотренного </w:t>
      </w:r>
      <w:hyperlink r:id="rId6" w:anchor="z4414" w:history="1">
        <w:r w:rsidRPr="00AB3762">
          <w:rPr>
            <w:rStyle w:val="a8"/>
            <w:color w:val="auto"/>
            <w:sz w:val="28"/>
            <w:szCs w:val="28"/>
            <w:u w:val="none"/>
          </w:rPr>
          <w:t>статьей 255</w:t>
        </w:r>
      </w:hyperlink>
      <w:r w:rsidRPr="00AB3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Налогового </w:t>
      </w:r>
      <w:r w:rsidRPr="00AB3762">
        <w:rPr>
          <w:sz w:val="28"/>
          <w:szCs w:val="28"/>
        </w:rPr>
        <w:t>Кодекса, которых за налоговый период, предшествующий году, в котором подлежит утверждению перечень участников, превышает 3 000 000-кратный размер месячного расчетного показателя, действующего на конец года, в котором подлежит утверждению перечень участников;</w:t>
      </w:r>
    </w:p>
    <w:p w:rsid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t xml:space="preserve">      5) первые триста крупных налогоплательщиков, имеющих наибольший совокупный годовой доход без учета уменьшения, предусмотренного </w:t>
      </w:r>
      <w:hyperlink r:id="rId7" w:anchor="z4414" w:history="1">
        <w:r w:rsidRPr="00AB3762">
          <w:rPr>
            <w:rStyle w:val="a8"/>
            <w:color w:val="auto"/>
            <w:sz w:val="28"/>
            <w:szCs w:val="28"/>
            <w:u w:val="none"/>
          </w:rPr>
          <w:t>статьей 255</w:t>
        </w:r>
      </w:hyperlink>
      <w:r w:rsidRPr="00AB3762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Налогового</w:t>
      </w:r>
      <w:r w:rsidRPr="00AB3762">
        <w:rPr>
          <w:sz w:val="28"/>
          <w:szCs w:val="28"/>
        </w:rPr>
        <w:t xml:space="preserve"> Кодекса, из крупных налогоплательщиков, соответствующих условиям, установленным частью второй настоящего пункта.</w:t>
      </w:r>
    </w:p>
    <w:p w:rsidR="00AB3762" w:rsidRPr="00AB3762" w:rsidRDefault="00AB3762" w:rsidP="00AB37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B3762">
        <w:rPr>
          <w:sz w:val="28"/>
          <w:szCs w:val="28"/>
        </w:rPr>
        <w:lastRenderedPageBreak/>
        <w:t xml:space="preserve">      Первые триста </w:t>
      </w:r>
      <w:r w:rsidR="00E56A38">
        <w:rPr>
          <w:sz w:val="28"/>
          <w:szCs w:val="28"/>
        </w:rPr>
        <w:t xml:space="preserve">вышеуказанных </w:t>
      </w:r>
      <w:r w:rsidRPr="00AB3762">
        <w:rPr>
          <w:sz w:val="28"/>
          <w:szCs w:val="28"/>
        </w:rPr>
        <w:t>крупных налогоплательщиков отбираются из числа налогоплательщиков, у которых сумма стоимостных балансов фиксированных активов на конец налогового периода составляет не менее 325 000-кратного месячного расчетного показателя, действующего на конец года, в котором подлежит утверждению перечень участников.</w:t>
      </w:r>
    </w:p>
    <w:p w:rsidR="00846802" w:rsidRDefault="00846802" w:rsidP="00F26BFD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:rsidR="00F26BFD" w:rsidRDefault="00F26BFD" w:rsidP="00F26BFD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E73D2">
        <w:rPr>
          <w:b/>
          <w:bCs/>
          <w:color w:val="000000"/>
          <w:sz w:val="28"/>
          <w:szCs w:val="28"/>
          <w:lang w:val="kk-KZ"/>
        </w:rPr>
        <w:t>Ожидаемы</w:t>
      </w:r>
      <w:r>
        <w:rPr>
          <w:b/>
          <w:bCs/>
          <w:color w:val="000000"/>
          <w:sz w:val="28"/>
          <w:szCs w:val="28"/>
          <w:lang w:val="kk-KZ"/>
        </w:rPr>
        <w:t>м</w:t>
      </w:r>
      <w:r w:rsidRPr="005E73D2">
        <w:rPr>
          <w:b/>
          <w:bCs/>
          <w:color w:val="000000"/>
          <w:sz w:val="28"/>
          <w:szCs w:val="28"/>
          <w:lang w:val="kk-KZ"/>
        </w:rPr>
        <w:t xml:space="preserve"> результат</w:t>
      </w:r>
      <w:r>
        <w:rPr>
          <w:b/>
          <w:bCs/>
          <w:color w:val="000000"/>
          <w:sz w:val="28"/>
          <w:szCs w:val="28"/>
          <w:lang w:val="kk-KZ"/>
        </w:rPr>
        <w:t>ом</w:t>
      </w:r>
      <w:r w:rsidRPr="005C1A54">
        <w:rPr>
          <w:color w:val="000000"/>
          <w:sz w:val="28"/>
          <w:szCs w:val="28"/>
          <w:lang w:val="kk-KZ"/>
        </w:rPr>
        <w:t xml:space="preserve"> </w:t>
      </w:r>
      <w:r w:rsidRPr="005E73D2">
        <w:rPr>
          <w:b/>
          <w:bCs/>
          <w:color w:val="000000"/>
          <w:sz w:val="28"/>
          <w:szCs w:val="28"/>
          <w:lang w:val="kk-KZ"/>
        </w:rPr>
        <w:t>Проекта</w:t>
      </w:r>
      <w:r>
        <w:rPr>
          <w:b/>
          <w:bCs/>
          <w:color w:val="000000"/>
          <w:sz w:val="28"/>
          <w:szCs w:val="28"/>
          <w:lang w:val="kk-KZ"/>
        </w:rPr>
        <w:t xml:space="preserve"> является:</w:t>
      </w:r>
    </w:p>
    <w:p w:rsidR="005936B5" w:rsidRDefault="00846802" w:rsidP="0064692D">
      <w:pPr>
        <w:pStyle w:val="docdata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утверждение </w:t>
      </w:r>
      <w:r w:rsidR="00753195">
        <w:rPr>
          <w:color w:val="000000"/>
          <w:sz w:val="28"/>
          <w:szCs w:val="28"/>
        </w:rPr>
        <w:t>Перечня участников мониторинга крупных налогоплательщиков на 2026-2027 годы</w:t>
      </w:r>
      <w:r w:rsidR="00753195">
        <w:rPr>
          <w:sz w:val="28"/>
          <w:szCs w:val="28"/>
          <w:lang w:val="kk-KZ"/>
        </w:rPr>
        <w:t xml:space="preserve"> для </w:t>
      </w:r>
      <w:r w:rsidR="0064692D">
        <w:rPr>
          <w:sz w:val="28"/>
          <w:szCs w:val="28"/>
          <w:lang w:val="kk-KZ"/>
        </w:rPr>
        <w:t>осуществления</w:t>
      </w:r>
      <w:r w:rsidR="00753195">
        <w:rPr>
          <w:sz w:val="28"/>
          <w:szCs w:val="28"/>
          <w:lang w:val="kk-KZ"/>
        </w:rPr>
        <w:t xml:space="preserve"> налогового мониторинга крупных налогоплательщиков с целью </w:t>
      </w:r>
      <w:r w:rsidR="0064692D">
        <w:rPr>
          <w:sz w:val="28"/>
          <w:szCs w:val="28"/>
          <w:lang w:val="kk-KZ"/>
        </w:rPr>
        <w:t>контроля соблюдения налогового законодательства Республики Казахстан и законодательства Республики Казахстан о трансфертном ценообра</w:t>
      </w:r>
      <w:r w:rsidR="005C2846">
        <w:rPr>
          <w:sz w:val="28"/>
          <w:szCs w:val="28"/>
          <w:lang w:val="kk-KZ"/>
        </w:rPr>
        <w:t>зовании;</w:t>
      </w:r>
    </w:p>
    <w:p w:rsidR="005C2846" w:rsidRPr="00753195" w:rsidRDefault="005C2846" w:rsidP="0064692D">
      <w:pPr>
        <w:pStyle w:val="docdata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информирование налогоплательщиков о включении в </w:t>
      </w:r>
      <w:r>
        <w:rPr>
          <w:color w:val="000000"/>
          <w:sz w:val="28"/>
          <w:szCs w:val="28"/>
        </w:rPr>
        <w:t>Перечень участников мониторинга крупных налогоплательщиков.</w:t>
      </w:r>
    </w:p>
    <w:sectPr w:rsidR="005C2846" w:rsidRPr="00753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F05B5"/>
    <w:multiLevelType w:val="hybridMultilevel"/>
    <w:tmpl w:val="B004353C"/>
    <w:lvl w:ilvl="0" w:tplc="61FC562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80F8C"/>
    <w:rsid w:val="000B63AB"/>
    <w:rsid w:val="000D46D5"/>
    <w:rsid w:val="001C0F71"/>
    <w:rsid w:val="001F3067"/>
    <w:rsid w:val="002D2F99"/>
    <w:rsid w:val="002F23D6"/>
    <w:rsid w:val="003015D5"/>
    <w:rsid w:val="00307AA9"/>
    <w:rsid w:val="0034514B"/>
    <w:rsid w:val="00360F09"/>
    <w:rsid w:val="00362323"/>
    <w:rsid w:val="003762F7"/>
    <w:rsid w:val="00386103"/>
    <w:rsid w:val="00390C8C"/>
    <w:rsid w:val="003F781D"/>
    <w:rsid w:val="005328A6"/>
    <w:rsid w:val="00564C36"/>
    <w:rsid w:val="005936B5"/>
    <w:rsid w:val="005A20CE"/>
    <w:rsid w:val="005A2BBF"/>
    <w:rsid w:val="005C2846"/>
    <w:rsid w:val="00603AAF"/>
    <w:rsid w:val="00607383"/>
    <w:rsid w:val="0064437F"/>
    <w:rsid w:val="0064692D"/>
    <w:rsid w:val="006715EA"/>
    <w:rsid w:val="0067318F"/>
    <w:rsid w:val="006C6077"/>
    <w:rsid w:val="006E6FB6"/>
    <w:rsid w:val="006F41F6"/>
    <w:rsid w:val="007169B6"/>
    <w:rsid w:val="00741089"/>
    <w:rsid w:val="00753195"/>
    <w:rsid w:val="007531E7"/>
    <w:rsid w:val="007608C0"/>
    <w:rsid w:val="0077449C"/>
    <w:rsid w:val="00774D14"/>
    <w:rsid w:val="007819F2"/>
    <w:rsid w:val="00821E89"/>
    <w:rsid w:val="00824421"/>
    <w:rsid w:val="008364AA"/>
    <w:rsid w:val="00846802"/>
    <w:rsid w:val="008504C2"/>
    <w:rsid w:val="00862244"/>
    <w:rsid w:val="00975160"/>
    <w:rsid w:val="0099510D"/>
    <w:rsid w:val="009D4F70"/>
    <w:rsid w:val="009E348B"/>
    <w:rsid w:val="009F02B6"/>
    <w:rsid w:val="00A02F64"/>
    <w:rsid w:val="00A077DE"/>
    <w:rsid w:val="00A4037D"/>
    <w:rsid w:val="00A63F2A"/>
    <w:rsid w:val="00A66F07"/>
    <w:rsid w:val="00A87B1B"/>
    <w:rsid w:val="00AB3762"/>
    <w:rsid w:val="00AB6D5F"/>
    <w:rsid w:val="00AE74BD"/>
    <w:rsid w:val="00B12168"/>
    <w:rsid w:val="00B42812"/>
    <w:rsid w:val="00B76C00"/>
    <w:rsid w:val="00BD4757"/>
    <w:rsid w:val="00C00AC2"/>
    <w:rsid w:val="00C32BE6"/>
    <w:rsid w:val="00CA69B3"/>
    <w:rsid w:val="00D545ED"/>
    <w:rsid w:val="00E53F07"/>
    <w:rsid w:val="00E56A38"/>
    <w:rsid w:val="00E67686"/>
    <w:rsid w:val="00EC210D"/>
    <w:rsid w:val="00EC2E67"/>
    <w:rsid w:val="00ED7272"/>
    <w:rsid w:val="00F208E0"/>
    <w:rsid w:val="00F24E92"/>
    <w:rsid w:val="00F25525"/>
    <w:rsid w:val="00F26BFD"/>
    <w:rsid w:val="00F35114"/>
    <w:rsid w:val="00F457A2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39"/>
    <w:rsid w:val="00741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3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306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25525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F26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B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B37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39"/>
    <w:rsid w:val="00741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3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306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25525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F26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B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B3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0.61.42.188/rus/docs/K25000002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61.42.188/rus/docs/K25000002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Елеуова Акжаркын Кайраденовна</cp:lastModifiedBy>
  <cp:revision>3</cp:revision>
  <cp:lastPrinted>2025-06-17T10:51:00Z</cp:lastPrinted>
  <dcterms:created xsi:type="dcterms:W3CDTF">2025-11-04T07:59:00Z</dcterms:created>
  <dcterms:modified xsi:type="dcterms:W3CDTF">2025-11-04T10:24:00Z</dcterms:modified>
</cp:coreProperties>
</file>